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CB46E" w14:textId="77777777" w:rsidR="00F56949" w:rsidRDefault="00F56949">
      <w:pPr>
        <w:jc w:val="both"/>
        <w:rPr>
          <w:rFonts w:ascii="Arial" w:eastAsia="Arial" w:hAnsi="Arial" w:cs="Arial"/>
        </w:rPr>
      </w:pPr>
    </w:p>
    <w:p w14:paraId="5CC2D393" w14:textId="77777777" w:rsidR="00F56949" w:rsidRDefault="00F56949">
      <w:pPr>
        <w:jc w:val="both"/>
        <w:rPr>
          <w:rFonts w:ascii="Arial" w:eastAsia="Arial" w:hAnsi="Arial" w:cs="Arial"/>
        </w:rPr>
      </w:pPr>
    </w:p>
    <w:p w14:paraId="393B92BB" w14:textId="77777777" w:rsidR="00F56949" w:rsidRDefault="00542B6B">
      <w:pPr>
        <w:ind w:left="360"/>
        <w:jc w:val="center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Percorso formativo disciplinare</w:t>
      </w:r>
    </w:p>
    <w:p w14:paraId="3D78F217" w14:textId="77777777" w:rsidR="00F56949" w:rsidRDefault="00542B6B">
      <w:pPr>
        <w:ind w:left="36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Disciplina: STORIA </w:t>
      </w:r>
    </w:p>
    <w:p w14:paraId="30357169" w14:textId="77777777" w:rsidR="008B02D9" w:rsidRDefault="00542B6B">
      <w:pPr>
        <w:ind w:left="36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con Educazione civica</w:t>
      </w:r>
    </w:p>
    <w:p w14:paraId="63EC343F" w14:textId="6FCAABCC" w:rsidR="00F56949" w:rsidRDefault="008B02D9">
      <w:pPr>
        <w:ind w:left="36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(Autonomie locali: le Regioni) </w:t>
      </w:r>
      <w:r>
        <w:rPr>
          <w:rFonts w:ascii="Arial" w:eastAsia="Arial" w:hAnsi="Arial" w:cs="Arial"/>
          <w:b/>
        </w:rPr>
        <w:tab/>
      </w:r>
    </w:p>
    <w:p w14:paraId="779D3132" w14:textId="6B99ACC4" w:rsidR="00F56949" w:rsidRDefault="008B02D9">
      <w:pPr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mallCaps/>
        </w:rPr>
        <w:t xml:space="preserve">       Classe:</w:t>
      </w:r>
      <w:r>
        <w:rPr>
          <w:rFonts w:ascii="Arial" w:eastAsia="Arial" w:hAnsi="Arial" w:cs="Arial"/>
        </w:rPr>
        <w:t xml:space="preserve"> </w:t>
      </w:r>
      <w:r w:rsidR="007B76F2">
        <w:rPr>
          <w:rFonts w:ascii="Arial" w:eastAsia="Arial" w:hAnsi="Arial" w:cs="Arial"/>
          <w:smallCaps/>
        </w:rPr>
        <w:t>5H</w:t>
      </w:r>
      <w:r>
        <w:rPr>
          <w:rFonts w:ascii="Arial" w:eastAsia="Arial" w:hAnsi="Arial" w:cs="Arial"/>
          <w:smallCaps/>
        </w:rPr>
        <w:tab/>
        <w:t xml:space="preserve">     Liceo: Scienze umane</w:t>
      </w:r>
      <w:r>
        <w:rPr>
          <w:rFonts w:ascii="Arial" w:eastAsia="Arial" w:hAnsi="Arial" w:cs="Arial"/>
          <w:smallCaps/>
        </w:rPr>
        <w:tab/>
      </w:r>
    </w:p>
    <w:p w14:paraId="647542F9" w14:textId="3684453F" w:rsidR="00F56949" w:rsidRDefault="008B02D9">
      <w:pPr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Anno scolastico 2023/24 </w:t>
      </w:r>
      <w:r>
        <w:rPr>
          <w:rFonts w:ascii="Arial" w:eastAsia="Arial" w:hAnsi="Arial" w:cs="Arial"/>
        </w:rPr>
        <w:tab/>
      </w:r>
    </w:p>
    <w:p w14:paraId="01973562" w14:textId="77777777" w:rsidR="00F56949" w:rsidRDefault="00542B6B">
      <w:pPr>
        <w:spacing w:after="240"/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Prof.ssa Ilaria Sebastiani</w:t>
      </w:r>
    </w:p>
    <w:p w14:paraId="20E7ABCC" w14:textId="77777777" w:rsidR="00F56949" w:rsidRDefault="00F5694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CA09BBE" w14:textId="4ED44F46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Testo di riferimento</w:t>
      </w:r>
      <w:r>
        <w:rPr>
          <w:rFonts w:ascii="Arial" w:eastAsia="Arial" w:hAnsi="Arial" w:cs="Arial"/>
          <w:b/>
          <w:bCs/>
        </w:rPr>
        <w:t xml:space="preserve">: </w:t>
      </w:r>
      <w:r w:rsidRPr="007B76F2">
        <w:rPr>
          <w:rFonts w:ascii="Arial" w:eastAsia="Arial" w:hAnsi="Arial" w:cs="Arial"/>
        </w:rPr>
        <w:t xml:space="preserve">Franco Bertini, </w:t>
      </w:r>
      <w:r w:rsidRPr="007B76F2">
        <w:rPr>
          <w:rFonts w:ascii="Arial" w:eastAsia="Arial" w:hAnsi="Arial" w:cs="Arial"/>
          <w:i/>
          <w:iCs/>
        </w:rPr>
        <w:t>Storia è … Fatti, collegamenti, interpretazioni</w:t>
      </w:r>
      <w:r w:rsidRPr="007B76F2">
        <w:rPr>
          <w:rFonts w:ascii="Arial" w:eastAsia="Arial" w:hAnsi="Arial" w:cs="Arial"/>
        </w:rPr>
        <w:t xml:space="preserve">, Mondadori </w:t>
      </w:r>
      <w:proofErr w:type="spellStart"/>
      <w:r w:rsidRPr="007B76F2">
        <w:rPr>
          <w:rFonts w:ascii="Arial" w:eastAsia="Arial" w:hAnsi="Arial" w:cs="Arial"/>
        </w:rPr>
        <w:t>Education</w:t>
      </w:r>
      <w:proofErr w:type="spellEnd"/>
      <w:r w:rsidRPr="007B76F2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–</w:t>
      </w:r>
      <w:r w:rsidRPr="007B76F2">
        <w:rPr>
          <w:rFonts w:ascii="Arial" w:eastAsia="Arial" w:hAnsi="Arial" w:cs="Arial"/>
        </w:rPr>
        <w:t xml:space="preserve"> Mursia</w:t>
      </w:r>
      <w:r>
        <w:rPr>
          <w:rFonts w:ascii="Arial" w:eastAsia="Arial" w:hAnsi="Arial" w:cs="Arial"/>
          <w:b/>
          <w:bCs/>
        </w:rPr>
        <w:t xml:space="preserve"> </w:t>
      </w:r>
      <w:r w:rsidRPr="007B76F2">
        <w:rPr>
          <w:rFonts w:ascii="Arial" w:eastAsia="Arial" w:hAnsi="Arial" w:cs="Arial"/>
        </w:rPr>
        <w:t>Scuola, Milano 2019</w:t>
      </w:r>
      <w:r>
        <w:rPr>
          <w:rFonts w:ascii="Arial" w:eastAsia="Arial" w:hAnsi="Arial" w:cs="Arial"/>
        </w:rPr>
        <w:t xml:space="preserve">, </w:t>
      </w:r>
      <w:r w:rsidRPr="007B76F2">
        <w:rPr>
          <w:rFonts w:ascii="Arial" w:eastAsia="Arial" w:hAnsi="Arial" w:cs="Arial"/>
        </w:rPr>
        <w:t>Volume 2. Il Settecento e l’Ottocento</w:t>
      </w:r>
      <w:r>
        <w:rPr>
          <w:rFonts w:ascii="Arial" w:eastAsia="Arial" w:hAnsi="Arial" w:cs="Arial"/>
        </w:rPr>
        <w:t xml:space="preserve">, </w:t>
      </w:r>
      <w:r w:rsidRPr="007B76F2">
        <w:rPr>
          <w:rFonts w:ascii="Arial" w:eastAsia="Arial" w:hAnsi="Arial" w:cs="Arial"/>
        </w:rPr>
        <w:t>Volume 3. Dal Novecento a oggi</w:t>
      </w:r>
    </w:p>
    <w:p w14:paraId="7DC5C7A2" w14:textId="77777777" w:rsidR="007B76F2" w:rsidRDefault="007B76F2" w:rsidP="007B76F2">
      <w:pPr>
        <w:jc w:val="both"/>
        <w:rPr>
          <w:rFonts w:ascii="Arial" w:eastAsia="Arial" w:hAnsi="Arial" w:cs="Arial"/>
        </w:rPr>
      </w:pPr>
    </w:p>
    <w:p w14:paraId="28838218" w14:textId="41F20C11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L’età della Restaurazione e i moti degli anni Venti e Trenta</w:t>
      </w:r>
    </w:p>
    <w:p w14:paraId="5822A3CA" w14:textId="77777777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(vol. 2, pp. 210-250)</w:t>
      </w:r>
    </w:p>
    <w:p w14:paraId="43F26AC1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Romanticismo e Restaurazione</w:t>
      </w:r>
    </w:p>
    <w:p w14:paraId="45F636F2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Il Congresso di Vienna e il sistema delle alleanze</w:t>
      </w:r>
    </w:p>
    <w:p w14:paraId="11A6AAAC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Restaurazione in Italia e in Europa</w:t>
      </w:r>
    </w:p>
    <w:p w14:paraId="41EE4A46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Le società segrete</w:t>
      </w:r>
    </w:p>
    <w:p w14:paraId="6DA42556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I moti insurrezionali del 1820-21</w:t>
      </w:r>
    </w:p>
    <w:p w14:paraId="4D394023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L’indipendenza della Grecia</w:t>
      </w:r>
    </w:p>
    <w:p w14:paraId="285E6E23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Le lotte indipendentiste in America Latina</w:t>
      </w:r>
    </w:p>
    <w:p w14:paraId="49B3EC03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Gli Stati Uniti nella prima metà dell’Ottocento</w:t>
      </w:r>
    </w:p>
    <w:p w14:paraId="39F3DBE4" w14:textId="77777777" w:rsidR="007B76F2" w:rsidRDefault="007B76F2" w:rsidP="007B76F2">
      <w:pPr>
        <w:jc w:val="both"/>
        <w:rPr>
          <w:rFonts w:ascii="Arial" w:eastAsia="Arial" w:hAnsi="Arial" w:cs="Arial"/>
        </w:rPr>
      </w:pPr>
    </w:p>
    <w:p w14:paraId="16720AE1" w14:textId="27887B6D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Il 1830 in Europa</w:t>
      </w:r>
    </w:p>
    <w:p w14:paraId="301820C6" w14:textId="77777777" w:rsid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(vol. 2, pp. 244-250)</w:t>
      </w:r>
    </w:p>
    <w:p w14:paraId="61BCD287" w14:textId="77777777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</w:p>
    <w:p w14:paraId="28AE06E6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rivoluzione di luglio e la monarchia orleanista in Francia</w:t>
      </w:r>
    </w:p>
    <w:p w14:paraId="374B7D85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L’indipendenza del Belgio e i moti in Italia e Polonia</w:t>
      </w:r>
    </w:p>
    <w:p w14:paraId="661B3A98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Riforme elettorali e trasformazioni sociali nell’Inghilterra degli anni Trenta</w:t>
      </w:r>
    </w:p>
    <w:p w14:paraId="338F5D97" w14:textId="77777777" w:rsidR="007B76F2" w:rsidRDefault="007B76F2" w:rsidP="007B76F2">
      <w:pPr>
        <w:jc w:val="both"/>
        <w:rPr>
          <w:rFonts w:ascii="Arial" w:eastAsia="Arial" w:hAnsi="Arial" w:cs="Arial"/>
          <w:b/>
          <w:bCs/>
        </w:rPr>
      </w:pPr>
    </w:p>
    <w:p w14:paraId="3DA3CCE9" w14:textId="30E4D6A7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 xml:space="preserve">Il Risorgimento italiano e </w:t>
      </w:r>
      <w:r>
        <w:rPr>
          <w:rFonts w:ascii="Arial" w:eastAsia="Arial" w:hAnsi="Arial" w:cs="Arial"/>
          <w:b/>
          <w:bCs/>
        </w:rPr>
        <w:t>l’</w:t>
      </w:r>
      <w:r w:rsidRPr="007B76F2">
        <w:rPr>
          <w:rFonts w:ascii="Arial" w:eastAsia="Arial" w:hAnsi="Arial" w:cs="Arial"/>
          <w:b/>
          <w:bCs/>
        </w:rPr>
        <w:t>unificazione nazionale</w:t>
      </w:r>
    </w:p>
    <w:p w14:paraId="4FF8CB81" w14:textId="77777777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(vol. 2, pp. 292-314 e 343-362)</w:t>
      </w:r>
    </w:p>
    <w:p w14:paraId="16A3EAEF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Il dibattito risorgimentale</w:t>
      </w:r>
    </w:p>
    <w:p w14:paraId="297888D9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L’Italia alla vigilia del 1848</w:t>
      </w:r>
    </w:p>
    <w:p w14:paraId="1026C540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Le insurrezioni del 1848 in Europa e in Italia</w:t>
      </w:r>
    </w:p>
    <w:p w14:paraId="3A69E89D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Prima guerra d’indipendenza e il suo fallimento</w:t>
      </w:r>
    </w:p>
    <w:p w14:paraId="0C0DAA00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politica interna ed estera di Cavour</w:t>
      </w:r>
    </w:p>
    <w:p w14:paraId="033F891C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Seconda guerra di indipendenza e la fondazione del Regno d’Italia</w:t>
      </w:r>
    </w:p>
    <w:p w14:paraId="377BB91C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Il governo della Destra storica</w:t>
      </w:r>
    </w:p>
    <w:p w14:paraId="20793B05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questione meridionale</w:t>
      </w:r>
    </w:p>
    <w:p w14:paraId="65DA031C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Terza guerra di indipendenza e la conquista di Roma</w:t>
      </w:r>
    </w:p>
    <w:p w14:paraId="12EEA679" w14:textId="77777777" w:rsidR="007B76F2" w:rsidRDefault="007B76F2" w:rsidP="007B76F2">
      <w:pPr>
        <w:jc w:val="both"/>
        <w:rPr>
          <w:rFonts w:ascii="Arial" w:eastAsia="Arial" w:hAnsi="Arial" w:cs="Arial"/>
          <w:b/>
          <w:bCs/>
        </w:rPr>
      </w:pPr>
    </w:p>
    <w:p w14:paraId="77B63045" w14:textId="2DEDB2BC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Il Secondo Impero francese e l’unificazione tedesca</w:t>
      </w:r>
    </w:p>
    <w:p w14:paraId="3F55966B" w14:textId="77777777" w:rsid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(vol. 2, pp. 329-331 e 336-341)</w:t>
      </w:r>
    </w:p>
    <w:p w14:paraId="17878A7F" w14:textId="77777777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</w:p>
    <w:p w14:paraId="51786B59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Francia di Napoleone III</w:t>
      </w:r>
    </w:p>
    <w:p w14:paraId="13BB256E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Prussia di Bismarck</w:t>
      </w:r>
    </w:p>
    <w:p w14:paraId="0D979640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Il conflitto franco-prussiano e la nascita dell’Impero tedesco</w:t>
      </w:r>
    </w:p>
    <w:p w14:paraId="0B6BCBF4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Comune di Parigi</w:t>
      </w:r>
    </w:p>
    <w:p w14:paraId="2BC34152" w14:textId="77777777" w:rsidR="007B76F2" w:rsidRDefault="007B76F2" w:rsidP="007B76F2">
      <w:pPr>
        <w:jc w:val="both"/>
        <w:rPr>
          <w:rFonts w:ascii="Arial" w:eastAsia="Arial" w:hAnsi="Arial" w:cs="Arial"/>
        </w:rPr>
      </w:pPr>
    </w:p>
    <w:p w14:paraId="417BF3AE" w14:textId="45D8DDD6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Industrializzazione e società nella seconda metà dell’Ottocento</w:t>
      </w:r>
    </w:p>
    <w:p w14:paraId="4B404236" w14:textId="77777777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(vol. 2, pp. 386-402)</w:t>
      </w:r>
    </w:p>
    <w:p w14:paraId="7B38EFF3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Il Positivismo</w:t>
      </w:r>
    </w:p>
    <w:p w14:paraId="525A316A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Evoluzionismo, darwinismo sociale e razzismo</w:t>
      </w:r>
    </w:p>
    <w:p w14:paraId="69269E53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Seconda rivoluzione industriale</w:t>
      </w:r>
    </w:p>
    <w:p w14:paraId="0994C8CC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Grande depressione e la riorganizzazione del capitalismo industriale</w:t>
      </w:r>
    </w:p>
    <w:p w14:paraId="2BE7EA24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Demografia ed emigrazione</w:t>
      </w:r>
    </w:p>
    <w:p w14:paraId="7B0E2B1C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questione sociale e il movimento operaio: Prima e Seconda internazionale</w:t>
      </w:r>
    </w:p>
    <w:p w14:paraId="6998CEAD" w14:textId="77777777" w:rsidR="007B76F2" w:rsidRPr="007B76F2" w:rsidRDefault="007B76F2" w:rsidP="007B76F2">
      <w:pPr>
        <w:jc w:val="both"/>
        <w:rPr>
          <w:rFonts w:ascii="Arial" w:eastAsia="Arial" w:hAnsi="Arial" w:cs="Arial"/>
          <w:i/>
          <w:iCs/>
        </w:rPr>
      </w:pPr>
      <w:r w:rsidRPr="007B76F2">
        <w:rPr>
          <w:rFonts w:ascii="Arial" w:eastAsia="Arial" w:hAnsi="Arial" w:cs="Arial"/>
        </w:rPr>
        <w:t xml:space="preserve">● La dottrina sociale della Chiesa: la </w:t>
      </w:r>
      <w:r w:rsidRPr="007B76F2">
        <w:rPr>
          <w:rFonts w:ascii="Arial" w:eastAsia="Arial" w:hAnsi="Arial" w:cs="Arial"/>
          <w:i/>
          <w:iCs/>
        </w:rPr>
        <w:t xml:space="preserve">Rerum </w:t>
      </w:r>
      <w:proofErr w:type="spellStart"/>
      <w:r w:rsidRPr="007B76F2">
        <w:rPr>
          <w:rFonts w:ascii="Arial" w:eastAsia="Arial" w:hAnsi="Arial" w:cs="Arial"/>
          <w:i/>
          <w:iCs/>
        </w:rPr>
        <w:t>novarum</w:t>
      </w:r>
      <w:proofErr w:type="spellEnd"/>
    </w:p>
    <w:p w14:paraId="2ED82847" w14:textId="77777777" w:rsidR="007B76F2" w:rsidRPr="007B76F2" w:rsidRDefault="007B76F2" w:rsidP="007B76F2">
      <w:pPr>
        <w:jc w:val="both"/>
        <w:rPr>
          <w:rFonts w:ascii="Arial" w:eastAsia="Arial" w:hAnsi="Arial" w:cs="Arial"/>
          <w:i/>
          <w:iCs/>
        </w:rPr>
      </w:pPr>
    </w:p>
    <w:p w14:paraId="263DA648" w14:textId="7CADB3D0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Lo scenario dell’età dell’imperialismo</w:t>
      </w:r>
    </w:p>
    <w:p w14:paraId="2620CD0F" w14:textId="77777777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(vol. 2, pp. 408-450)</w:t>
      </w:r>
    </w:p>
    <w:p w14:paraId="53677511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modernizzazione del Giappone</w:t>
      </w:r>
    </w:p>
    <w:p w14:paraId="4302E4FE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L’imperialismo dal 1870 al 1914</w:t>
      </w:r>
    </w:p>
    <w:p w14:paraId="6117B99D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situazione coloniale in Asia</w:t>
      </w:r>
    </w:p>
    <w:p w14:paraId="6638B7F7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spartizione dell’Africa</w:t>
      </w:r>
    </w:p>
    <w:p w14:paraId="28F66935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diffusione del nazionalismo</w:t>
      </w:r>
    </w:p>
    <w:p w14:paraId="102ECE01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Germania di fine secolo</w:t>
      </w:r>
    </w:p>
    <w:p w14:paraId="6EA1B53B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Francia, l’Inghilterra e gli Imperi</w:t>
      </w:r>
    </w:p>
    <w:p w14:paraId="4CB29377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L’Italia dalla Sinistra storica alla crisi di fine secolo</w:t>
      </w:r>
    </w:p>
    <w:p w14:paraId="20CC13F2" w14:textId="77777777" w:rsidR="007B76F2" w:rsidRDefault="007B76F2" w:rsidP="007B76F2">
      <w:pPr>
        <w:jc w:val="both"/>
        <w:rPr>
          <w:rFonts w:ascii="Arial" w:eastAsia="Arial" w:hAnsi="Arial" w:cs="Arial"/>
        </w:rPr>
      </w:pPr>
    </w:p>
    <w:p w14:paraId="79D01FF5" w14:textId="358DED0E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L’Italia giolittiana</w:t>
      </w:r>
    </w:p>
    <w:p w14:paraId="4066F124" w14:textId="77777777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(vol. 3, pp. 18-29)</w:t>
      </w:r>
    </w:p>
    <w:p w14:paraId="483DC4B9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politica interna di Giovanni Giolitti</w:t>
      </w:r>
    </w:p>
    <w:p w14:paraId="04B0D476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Il fenomeno migratorio e la questione meridionale</w:t>
      </w:r>
    </w:p>
    <w:p w14:paraId="0ED371E3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L’Italia nel teatro internazionale e la guerra di Libia</w:t>
      </w:r>
    </w:p>
    <w:p w14:paraId="60C4BBB9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conclusione dell’età giolittiana</w:t>
      </w:r>
    </w:p>
    <w:p w14:paraId="59192541" w14:textId="77777777" w:rsidR="007B76F2" w:rsidRDefault="007B76F2" w:rsidP="007B76F2">
      <w:pPr>
        <w:jc w:val="both"/>
        <w:rPr>
          <w:rFonts w:ascii="Arial" w:eastAsia="Arial" w:hAnsi="Arial" w:cs="Arial"/>
        </w:rPr>
      </w:pPr>
    </w:p>
    <w:p w14:paraId="76629320" w14:textId="5025E6EE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La prima guerra mondiale</w:t>
      </w:r>
    </w:p>
    <w:p w14:paraId="3EB33A8C" w14:textId="77777777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(vol. 3, pp. 40-61)</w:t>
      </w:r>
    </w:p>
    <w:p w14:paraId="7CD9D383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genesi del conflitto</w:t>
      </w:r>
    </w:p>
    <w:p w14:paraId="3FE920EE" w14:textId="1DD90268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Il primo anno di guerra (1914)</w:t>
      </w:r>
    </w:p>
    <w:p w14:paraId="6DA12127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Il dibattito in Italia tra interventisti e neutralisti</w:t>
      </w:r>
    </w:p>
    <w:p w14:paraId="5981B513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Lo sviluppo delle ostilità tra 1915 e 1916</w:t>
      </w:r>
    </w:p>
    <w:p w14:paraId="600C86EC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svolta del 1917</w:t>
      </w:r>
    </w:p>
    <w:p w14:paraId="5BA0F096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lastRenderedPageBreak/>
        <w:t>● La fine del conflitto e il riassetto europeo dei trattati di pace.</w:t>
      </w:r>
    </w:p>
    <w:p w14:paraId="483A9710" w14:textId="77777777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La rivoluzione russa e la nascita dell’Unione sovietica</w:t>
      </w:r>
    </w:p>
    <w:p w14:paraId="0AC22239" w14:textId="77777777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(vol. 3, pp. 74-89 e 180-183)</w:t>
      </w:r>
    </w:p>
    <w:p w14:paraId="54A79D47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rivoluzione di febbraio e il crollo del regime zarista</w:t>
      </w:r>
    </w:p>
    <w:p w14:paraId="3D498BF4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Lo sdoppiamento del potere tra governo provvisorio e soviet</w:t>
      </w:r>
    </w:p>
    <w:p w14:paraId="498ADD57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Lenin e le “Tesi di aprile”</w:t>
      </w:r>
    </w:p>
    <w:p w14:paraId="6F5A3A4E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rivoluzione di ottobre e l’instaurazione del bolscevismo</w:t>
      </w:r>
    </w:p>
    <w:p w14:paraId="737BAB28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guerra civile</w:t>
      </w:r>
    </w:p>
    <w:p w14:paraId="6A62223A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Dal comunismo di guerra alla Nep</w:t>
      </w:r>
    </w:p>
    <w:p w14:paraId="51C7FF49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Terza Internazionale</w:t>
      </w:r>
    </w:p>
    <w:p w14:paraId="009962CC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L’Unione sovietica dopo Lenin</w:t>
      </w:r>
    </w:p>
    <w:p w14:paraId="176FE655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L’economia statalizzata: i piani quinquennali</w:t>
      </w:r>
    </w:p>
    <w:p w14:paraId="3AE40387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L’assetto istituzionale e l’imposizione del partito unico</w:t>
      </w:r>
    </w:p>
    <w:p w14:paraId="58681D4F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Lo stalinismo: repressione ed epurazioni</w:t>
      </w:r>
    </w:p>
    <w:p w14:paraId="2D3937F7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Tra le due guerre</w:t>
      </w:r>
    </w:p>
    <w:p w14:paraId="0724D786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Il crollo della Borsa di Wall Street e il New Deal (pp. 116-121).</w:t>
      </w:r>
    </w:p>
    <w:p w14:paraId="2B6CEC86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crisi del liberalismo italiano (pp. 124-128).</w:t>
      </w:r>
    </w:p>
    <w:p w14:paraId="0CBA970A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repubblica di Weimar (pp. 162-166).</w:t>
      </w:r>
    </w:p>
    <w:p w14:paraId="4D6B717D" w14:textId="77777777" w:rsidR="007B76F2" w:rsidRDefault="007B76F2" w:rsidP="007B76F2">
      <w:pPr>
        <w:jc w:val="both"/>
        <w:rPr>
          <w:rFonts w:ascii="Arial" w:eastAsia="Arial" w:hAnsi="Arial" w:cs="Arial"/>
        </w:rPr>
      </w:pPr>
    </w:p>
    <w:p w14:paraId="6D41239C" w14:textId="293E12FE" w:rsidR="007B76F2" w:rsidRPr="007B76F2" w:rsidRDefault="007B76F2" w:rsidP="007B76F2">
      <w:pPr>
        <w:jc w:val="both"/>
        <w:rPr>
          <w:rFonts w:ascii="Arial" w:eastAsia="Arial" w:hAnsi="Arial" w:cs="Arial"/>
          <w:b/>
          <w:bCs/>
        </w:rPr>
      </w:pPr>
      <w:r w:rsidRPr="007B76F2">
        <w:rPr>
          <w:rFonts w:ascii="Arial" w:eastAsia="Arial" w:hAnsi="Arial" w:cs="Arial"/>
          <w:b/>
          <w:bCs/>
        </w:rPr>
        <w:t>Gli Stati totalitari in Italia e in Germania</w:t>
      </w:r>
    </w:p>
    <w:p w14:paraId="770014B9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Ascesa, affermazione e costituzione in regime del fascismo e del nazionalsocialismo (pp.</w:t>
      </w:r>
    </w:p>
    <w:p w14:paraId="5928038D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129-150 e 167-177).</w:t>
      </w:r>
    </w:p>
    <w:p w14:paraId="6F1D2C49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Leggi razziali, discriminazione e persecuzione degli ebrei d’Europa (pp. 177-178, 150-152,</w:t>
      </w:r>
    </w:p>
    <w:p w14:paraId="4D38D438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243-245).</w:t>
      </w:r>
    </w:p>
    <w:p w14:paraId="1832512C" w14:textId="77777777" w:rsidR="007B76F2" w:rsidRPr="007B76F2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● La crisi delle potenze dell’Asse e la caduta degli Stati totalitari nel contesto della seconda</w:t>
      </w:r>
    </w:p>
    <w:p w14:paraId="2E5654CA" w14:textId="5D60BCE1" w:rsidR="00F56949" w:rsidRDefault="007B76F2" w:rsidP="007B76F2">
      <w:pPr>
        <w:jc w:val="both"/>
        <w:rPr>
          <w:rFonts w:ascii="Arial" w:eastAsia="Arial" w:hAnsi="Arial" w:cs="Arial"/>
        </w:rPr>
      </w:pPr>
      <w:r w:rsidRPr="007B76F2">
        <w:rPr>
          <w:rFonts w:ascii="Arial" w:eastAsia="Arial" w:hAnsi="Arial" w:cs="Arial"/>
        </w:rPr>
        <w:t>guerra mondiale (pp. 233-241).</w:t>
      </w:r>
    </w:p>
    <w:p w14:paraId="72E85375" w14:textId="77777777" w:rsidR="007B76F2" w:rsidRDefault="007B76F2" w:rsidP="007B76F2">
      <w:pPr>
        <w:jc w:val="both"/>
        <w:rPr>
          <w:rFonts w:ascii="Arial" w:eastAsia="Arial" w:hAnsi="Arial" w:cs="Arial"/>
        </w:rPr>
      </w:pPr>
    </w:p>
    <w:p w14:paraId="24E3A9C0" w14:textId="77777777" w:rsidR="007B76F2" w:rsidRDefault="007B76F2" w:rsidP="007B76F2">
      <w:pPr>
        <w:jc w:val="both"/>
        <w:rPr>
          <w:rFonts w:ascii="Arial" w:eastAsia="Arial" w:hAnsi="Arial" w:cs="Arial"/>
        </w:rPr>
      </w:pPr>
    </w:p>
    <w:p w14:paraId="433F41A1" w14:textId="30CA4249" w:rsidR="007B76F2" w:rsidRDefault="007B76F2" w:rsidP="007B76F2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Ancona, 15 maggio 2024</w:t>
      </w:r>
    </w:p>
    <w:p w14:paraId="563DBD64" w14:textId="0114E870" w:rsidR="007B76F2" w:rsidRDefault="007B76F2" w:rsidP="007B76F2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docente</w:t>
      </w:r>
    </w:p>
    <w:p w14:paraId="3730C1EE" w14:textId="69D163DA" w:rsidR="007B76F2" w:rsidRDefault="007B76F2" w:rsidP="007B76F2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Ilaria Sebastiani</w:t>
      </w:r>
    </w:p>
    <w:sectPr w:rsidR="007B76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89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B82D38" w14:textId="77777777" w:rsidR="00C107F7" w:rsidRDefault="00C107F7">
      <w:r>
        <w:separator/>
      </w:r>
    </w:p>
  </w:endnote>
  <w:endnote w:type="continuationSeparator" w:id="0">
    <w:p w14:paraId="2F12F4E7" w14:textId="77777777" w:rsidR="00C107F7" w:rsidRDefault="00C10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1B07499-357C-46CE-8FC1-0E82B73E4C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19EEFA5-C6B3-4F40-AFA0-25B9C775DFDC}"/>
    <w:embedItalic r:id="rId3" w:fontKey="{A576CDD0-9FA0-43CA-846E-347724DE85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4" w:fontKey="{6E6F8C0A-48A5-433D-B60D-0BDB548633C8}"/>
    <w:embedBold r:id="rId5" w:fontKey="{850679A6-0988-43B1-B634-5E4319DF4193}"/>
    <w:embedItalic r:id="rId6" w:fontKey="{F4D62420-C045-4894-AD0B-CA38C6EDA0F6}"/>
    <w:embedBoldItalic r:id="rId7" w:fontKey="{EAB2B4DF-4AD8-4AAB-82FC-DD315BEE9AE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EC10AF5D-0300-471B-8BB9-08A474C4091F}"/>
    <w:embedBold r:id="rId9" w:fontKey="{7C641292-4036-42CA-8BCB-DC25D5FC9D6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2E7D822F-D8D4-4835-B925-ECA0BB8192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1C69522-2D89-4811-811A-063832196C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EDC8EAEA-41B8-4283-BEC6-57846D6172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ACC24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63A88" w14:textId="77777777" w:rsidR="00F56949" w:rsidRDefault="00542B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color w:val="005478"/>
        <w:sz w:val="16"/>
        <w:szCs w:val="16"/>
      </w:rPr>
    </w:pPr>
    <w:r>
      <w:rPr>
        <w:rFonts w:ascii="Open Sans Light" w:eastAsia="Open Sans Light" w:hAnsi="Open Sans Light" w:cs="Open Sans Light"/>
        <w:b/>
        <w:color w:val="005478"/>
        <w:sz w:val="16"/>
        <w:szCs w:val="16"/>
      </w:rPr>
      <w:t>Via Canale, 1 – 60122 Ancona – Tel. 071204723 – Fax 0712072014 - CM ANPC010006 CF 93020970427</w:t>
    </w:r>
  </w:p>
  <w:p w14:paraId="355015F3" w14:textId="77777777" w:rsidR="00F56949" w:rsidRDefault="00542B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" w:eastAsia="Open Sans" w:hAnsi="Open Sans" w:cs="Open Sans"/>
        <w:color w:val="000000"/>
        <w:sz w:val="15"/>
        <w:szCs w:val="15"/>
      </w:rPr>
    </w:pPr>
    <w:hyperlink r:id="rId1">
      <w:r>
        <w:rPr>
          <w:rFonts w:ascii="Open Sans" w:eastAsia="Open Sans" w:hAnsi="Open Sans" w:cs="Open Sans"/>
          <w:color w:val="0000FF"/>
          <w:sz w:val="15"/>
          <w:szCs w:val="15"/>
          <w:u w:val="single"/>
        </w:rPr>
        <w:t>anpc010006@pec.istruzione.it</w:t>
      </w:r>
    </w:hyperlink>
    <w:r>
      <w:rPr>
        <w:rFonts w:ascii="Open Sans" w:eastAsia="Open Sans" w:hAnsi="Open Sans" w:cs="Open Sans"/>
        <w:color w:val="000000"/>
        <w:sz w:val="15"/>
        <w:szCs w:val="15"/>
      </w:rPr>
      <w:t xml:space="preserve">  -  </w:t>
    </w:r>
    <w:hyperlink r:id="rId2">
      <w:r>
        <w:rPr>
          <w:rFonts w:ascii="Open Sans" w:eastAsia="Open Sans" w:hAnsi="Open Sans" w:cs="Open Sans"/>
          <w:color w:val="0000FF"/>
          <w:sz w:val="15"/>
          <w:szCs w:val="15"/>
          <w:u w:val="single"/>
        </w:rPr>
        <w:t>anpc010006@istruzione.it</w:t>
      </w:r>
    </w:hyperlink>
    <w:r>
      <w:rPr>
        <w:rFonts w:ascii="Open Sans" w:eastAsia="Open Sans" w:hAnsi="Open Sans" w:cs="Open Sans"/>
        <w:color w:val="000000"/>
        <w:sz w:val="15"/>
        <w:szCs w:val="15"/>
      </w:rPr>
      <w:t xml:space="preserve">  -  </w:t>
    </w:r>
    <w:hyperlink r:id="rId3">
      <w:r>
        <w:rPr>
          <w:rFonts w:ascii="Open Sans" w:eastAsia="Open Sans" w:hAnsi="Open Sans" w:cs="Open Sans"/>
          <w:color w:val="0000FF"/>
          <w:sz w:val="15"/>
          <w:szCs w:val="15"/>
          <w:u w:val="single"/>
        </w:rPr>
        <w:t>www.rinaldini.edu.it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AD9F7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99F652" w14:textId="77777777" w:rsidR="00C107F7" w:rsidRDefault="00C107F7">
      <w:r>
        <w:separator/>
      </w:r>
    </w:p>
  </w:footnote>
  <w:footnote w:type="continuationSeparator" w:id="0">
    <w:p w14:paraId="542CB857" w14:textId="77777777" w:rsidR="00C107F7" w:rsidRDefault="00C10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43EC7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0B05D" w14:textId="77777777" w:rsidR="00F56949" w:rsidRDefault="00542B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color w:val="000000"/>
        <w:sz w:val="21"/>
        <w:szCs w:val="21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B4513CD" wp14:editId="041598EF">
          <wp:simplePos x="0" y="0"/>
          <wp:positionH relativeFrom="column">
            <wp:posOffset>255905</wp:posOffset>
          </wp:positionH>
          <wp:positionV relativeFrom="paragraph">
            <wp:posOffset>21590</wp:posOffset>
          </wp:positionV>
          <wp:extent cx="5613400" cy="228600"/>
          <wp:effectExtent l="0" t="0" r="0" b="0"/>
          <wp:wrapSquare wrapText="bothSides" distT="0" distB="0" distL="114300" distR="114300"/>
          <wp:docPr id="12396494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228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9AADA3" w14:textId="77777777" w:rsidR="00F56949" w:rsidRDefault="00542B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color w:val="005478"/>
        <w:sz w:val="22"/>
        <w:szCs w:val="22"/>
      </w:rPr>
    </w:pPr>
    <w:r>
      <w:rPr>
        <w:rFonts w:ascii="Open Sans Light" w:eastAsia="Open Sans Light" w:hAnsi="Open Sans Light" w:cs="Open Sans Light"/>
        <w:b/>
        <w:color w:val="005478"/>
        <w:sz w:val="22"/>
        <w:szCs w:val="22"/>
      </w:rPr>
      <w:t>Ministero dell’Istruzione e del Merito</w:t>
    </w:r>
  </w:p>
  <w:p w14:paraId="1F04157E" w14:textId="77777777" w:rsidR="00F56949" w:rsidRDefault="00542B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i/>
        <w:color w:val="17365D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B98CD29" wp14:editId="40036A8C">
          <wp:simplePos x="0" y="0"/>
          <wp:positionH relativeFrom="column">
            <wp:posOffset>1593850</wp:posOffset>
          </wp:positionH>
          <wp:positionV relativeFrom="paragraph">
            <wp:posOffset>43815</wp:posOffset>
          </wp:positionV>
          <wp:extent cx="2870835" cy="669925"/>
          <wp:effectExtent l="0" t="0" r="0" b="0"/>
          <wp:wrapNone/>
          <wp:docPr id="123964949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0835" cy="669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B93CFD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i/>
        <w:color w:val="17365D"/>
        <w:sz w:val="16"/>
        <w:szCs w:val="16"/>
      </w:rPr>
    </w:pPr>
  </w:p>
  <w:p w14:paraId="2F65BB49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Trebuchet MS" w:eastAsia="Trebuchet MS" w:hAnsi="Trebuchet MS" w:cs="Trebuchet MS"/>
        <w:b/>
        <w:color w:val="005478"/>
      </w:rPr>
    </w:pPr>
  </w:p>
  <w:p w14:paraId="6CCE9F48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Trebuchet MS" w:eastAsia="Trebuchet MS" w:hAnsi="Trebuchet MS" w:cs="Trebuchet MS"/>
        <w:b/>
        <w:color w:val="005478"/>
      </w:rPr>
    </w:pPr>
  </w:p>
  <w:p w14:paraId="4DC17D19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i/>
        <w:color w:val="005478"/>
        <w:sz w:val="16"/>
        <w:szCs w:val="16"/>
      </w:rPr>
    </w:pPr>
  </w:p>
  <w:p w14:paraId="12E9104F" w14:textId="77777777" w:rsidR="00F56949" w:rsidRDefault="00542B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i/>
        <w:color w:val="005478"/>
        <w:sz w:val="16"/>
        <w:szCs w:val="16"/>
      </w:rPr>
    </w:pPr>
    <w:r>
      <w:rPr>
        <w:rFonts w:ascii="Open Sans Light" w:eastAsia="Open Sans Light" w:hAnsi="Open Sans Light" w:cs="Open Sans Light"/>
        <w:b/>
        <w:i/>
        <w:color w:val="005478"/>
        <w:sz w:val="16"/>
        <w:szCs w:val="16"/>
      </w:rPr>
      <w:t>Liceo Classico – Musicale – Scienze Umane – Economico Sociale</w:t>
    </w:r>
  </w:p>
  <w:p w14:paraId="12237394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Open Sans Light" w:eastAsia="Open Sans Light" w:hAnsi="Open Sans Light" w:cs="Open Sans Light"/>
        <w:b/>
        <w:i/>
        <w:color w:val="005478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C7307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515376"/>
    <w:multiLevelType w:val="multilevel"/>
    <w:tmpl w:val="213EA2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33F63C4"/>
    <w:multiLevelType w:val="multilevel"/>
    <w:tmpl w:val="624A24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EC6712"/>
    <w:multiLevelType w:val="multilevel"/>
    <w:tmpl w:val="B224A7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794476B"/>
    <w:multiLevelType w:val="multilevel"/>
    <w:tmpl w:val="312E0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57816716">
    <w:abstractNumId w:val="3"/>
  </w:num>
  <w:num w:numId="2" w16cid:durableId="896428839">
    <w:abstractNumId w:val="2"/>
  </w:num>
  <w:num w:numId="3" w16cid:durableId="851728755">
    <w:abstractNumId w:val="0"/>
  </w:num>
  <w:num w:numId="4" w16cid:durableId="145902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949"/>
    <w:rsid w:val="001A4F65"/>
    <w:rsid w:val="003556C1"/>
    <w:rsid w:val="00542B6B"/>
    <w:rsid w:val="007B76F2"/>
    <w:rsid w:val="008B02D9"/>
    <w:rsid w:val="00BB5F35"/>
    <w:rsid w:val="00C107F7"/>
    <w:rsid w:val="00C80C8D"/>
    <w:rsid w:val="00D412AA"/>
    <w:rsid w:val="00DB5234"/>
    <w:rsid w:val="00E31932"/>
    <w:rsid w:val="00F5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E8EBA"/>
  <w15:docId w15:val="{E4CCE240-9B72-4B8E-874B-F4AEABD35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4FDD"/>
    <w:pPr>
      <w:suppressAutoHyphens/>
      <w:autoSpaceDN w:val="0"/>
      <w:textAlignment w:val="baseline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270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7034"/>
  </w:style>
  <w:style w:type="paragraph" w:styleId="Pidipagina">
    <w:name w:val="footer"/>
    <w:basedOn w:val="Normale"/>
    <w:link w:val="PidipaginaCarattere"/>
    <w:uiPriority w:val="99"/>
    <w:unhideWhenUsed/>
    <w:rsid w:val="008270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70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70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7034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6B4C5D"/>
    <w:pPr>
      <w:suppressAutoHyphens/>
      <w:autoSpaceDN w:val="0"/>
      <w:textAlignment w:val="baseline"/>
    </w:pPr>
  </w:style>
  <w:style w:type="table" w:styleId="Grigliatabella">
    <w:name w:val="Table Grid"/>
    <w:basedOn w:val="Tabellanormale"/>
    <w:uiPriority w:val="59"/>
    <w:rsid w:val="004352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363DD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F37E8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inaldini.edu.it" TargetMode="External"/><Relationship Id="rId2" Type="http://schemas.openxmlformats.org/officeDocument/2006/relationships/hyperlink" Target="mailto:anpc010006@istruzione.it" TargetMode="External"/><Relationship Id="rId1" Type="http://schemas.openxmlformats.org/officeDocument/2006/relationships/hyperlink" Target="mailto:anpc010006@pec.istruzione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Ktmkx9Mg9LimqfYvUIqzj8Sx2A==">CgMxLjAyCGguZ2pkZ3hzOAByITFRSnZFbUxTUDNGdk1pMHNXUGpaLWsxNEllWDFRcFlTUw==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636</Words>
  <Characters>3629</Characters>
  <Application>Microsoft Office Word</Application>
  <DocSecurity>0</DocSecurity>
  <Lines>30</Lines>
  <Paragraphs>8</Paragraphs>
  <ScaleCrop>false</ScaleCrop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utente8</cp:lastModifiedBy>
  <cp:revision>2</cp:revision>
  <dcterms:created xsi:type="dcterms:W3CDTF">2024-06-15T07:35:00Z</dcterms:created>
  <dcterms:modified xsi:type="dcterms:W3CDTF">2024-06-15T07:35:00Z</dcterms:modified>
</cp:coreProperties>
</file>